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09" w:rsidRDefault="00B435D0" w:rsidP="00A5782B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09" w:rsidRDefault="00B04A09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</w:rPr>
      </w:pPr>
    </w:p>
    <w:p w:rsidR="00023C3C" w:rsidRPr="00D3268B" w:rsidRDefault="00023C3C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B04A09" w:rsidRPr="00082EA9" w:rsidRDefault="00B04A09" w:rsidP="00082EA9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A12CB" w:rsidRDefault="006A12CB" w:rsidP="006A12CB">
      <w:pPr>
        <w:shd w:val="clear" w:color="auto" w:fill="FFFFFF"/>
        <w:spacing w:after="240" w:line="420" w:lineRule="atLeast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Při podnikání může způsobit nepříjemné </w:t>
      </w:r>
      <w:r w:rsidRPr="007665F1">
        <w:rPr>
          <w:rFonts w:ascii="Arial" w:eastAsia="Times New Roman" w:hAnsi="Arial" w:cs="Arial"/>
          <w:b/>
          <w:sz w:val="28"/>
          <w:szCs w:val="28"/>
          <w:lang w:eastAsia="cs-CZ"/>
        </w:rPr>
        <w:t>následky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i malé pochybení</w:t>
      </w:r>
    </w:p>
    <w:p w:rsidR="006A12CB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Daňová přiznání jsou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odevzd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aná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, předchozí rok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zrekapitulován a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přichází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čas bilancování. Pro podnikatele současně nastává vhodné období pro další plánování, revidování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rizik, která jsou 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jejich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činnost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spojená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nastav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ení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adekvátn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pojistn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é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ochran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y.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Mnoho podnikatelů přitom pojištění svých aktivit podceňuje. Živnostníci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také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často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plně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neuvědomují, že za škody, které mohou v rámci svého podnikání způsobit, ručí celým svým majetkem.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která zajištění by měl odpovědný podnikatel myslet a pravidelně je aktualizovat?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12CB" w:rsidRPr="009952BB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12CB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V případě 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dvokátů, lékařů a dalších profesí zákon přímo ukládá povinnost uzavřít pojištění profesní odpovědnosti, ale pro většinu dalších podnikatelů je forma a rozsah jejich pojištění otázkou vlastního uvážení. Mnohdy si nepřipouští, že z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atímco v případě zaměstnaneckého poměru nese zaměstnanec odpovědnost jen do výše několikanásobku své hrubé měsíční mzdy, osoby samostatně výdělečně činné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(a také např. statutární orgány společností)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nejsou v tomto ohledu chráněny a odpovídají celým svým majetkem. I drobný živnostník přitom může nedopatřením způsobit škody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řád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ech stovek tisíc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korun.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to nejen na majetku, ale také na zdraví. Podobné situace pak mohou být likvidační a dokáží zásadním způsobem nabourat nejen podnikání, ale také rodinný rozpočet. Případný způsobený 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dluh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 navíc dědí</w:t>
      </w:r>
      <w:r w:rsidRPr="00A70533">
        <w:rPr>
          <w:rFonts w:ascii="Arial" w:hAnsi="Arial" w:cs="Arial"/>
          <w:color w:val="000000"/>
          <w:sz w:val="20"/>
          <w:szCs w:val="20"/>
          <w:shd w:val="clear" w:color="auto" w:fill="FFFFFF"/>
        </w:rPr>
        <w:t>, takže v případě úmrtí podnikatele přechází závazek na osoby blízké.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12CB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12CB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„Někdy stačí opravdu drobná, neúmyslná chyba, která může způsobit značné nepříjemnosti. Řešili jsme případ automechanika, který nechal omylem v motorovém prostoru hadřík, který se následně během</w:t>
      </w:r>
      <w:r w:rsidR="00573E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jízdy vzňal a požár se rozšířil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celé vozidlo. Škoda na autě se vyšplhala do statisíců korun,“ popisuje Jan Vlček, obchodní ředitel Slavia pojišťovny. Pojištění odpovědnosti by proto mělo být základní ochranou při výkonu každého podnikání. </w:t>
      </w:r>
    </w:p>
    <w:p w:rsidR="006A12CB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12CB" w:rsidRPr="0013241E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7C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jaká další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základní </w:t>
      </w:r>
      <w:r w:rsidRPr="00D17C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rizika si dát pozor?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Volba další pojistné ochrany se odvíjí od předmětu daného podnikání, v úvahu je třeba brát, jakým majetkem podnikatel disponuje, jak probíhá podnikatelská činnost, jaké prostředky ke své činnosti využívá, přičemž platí, že pojišťovny zvládnou ošetřit také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individuální potřeby jednotlivých subjektů. „Podle údajů Slavia pojišťovny podnikatelé nejčastěji využívají </w:t>
      </w:r>
      <w:r w:rsidRPr="00573E14">
        <w:rPr>
          <w:rFonts w:ascii="Arial" w:hAnsi="Arial" w:cs="Arial"/>
          <w:sz w:val="20"/>
          <w:szCs w:val="20"/>
          <w:shd w:val="clear" w:color="auto" w:fill="FFFFFF"/>
        </w:rPr>
        <w:t>živelní pojištění, která poskytují ochranu před požárem, povodněmi, vichřicemi a dalším řádění přírodních živlů. Fre</w:t>
      </w:r>
      <w:r w:rsidR="00573E14" w:rsidRPr="00573E14">
        <w:rPr>
          <w:rFonts w:ascii="Arial" w:hAnsi="Arial" w:cs="Arial"/>
          <w:sz w:val="20"/>
          <w:szCs w:val="20"/>
          <w:shd w:val="clear" w:color="auto" w:fill="FFFFFF"/>
        </w:rPr>
        <w:t>kventované je také pojištění pro případ odcizení a vandalismu</w:t>
      </w:r>
      <w:r w:rsidRPr="00573E14">
        <w:rPr>
          <w:rFonts w:ascii="Arial" w:hAnsi="Arial" w:cs="Arial"/>
          <w:sz w:val="20"/>
          <w:szCs w:val="20"/>
          <w:shd w:val="clear" w:color="auto" w:fill="FFFFFF"/>
        </w:rPr>
        <w:t>,“ říká Jan Vlček.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50979">
        <w:rPr>
          <w:rFonts w:ascii="Arial" w:hAnsi="Arial" w:cs="Arial"/>
          <w:color w:val="000000"/>
          <w:sz w:val="20"/>
          <w:szCs w:val="20"/>
          <w:shd w:val="clear" w:color="auto" w:fill="FFFFFF"/>
        </w:rPr>
        <w:t>Zajímavou n</w:t>
      </w:r>
      <w:r w:rsidRPr="0013241E">
        <w:rPr>
          <w:rFonts w:ascii="Arial" w:hAnsi="Arial" w:cs="Arial"/>
          <w:color w:val="000000"/>
          <w:sz w:val="20"/>
          <w:szCs w:val="20"/>
          <w:shd w:val="clear" w:color="auto" w:fill="FFFFFF"/>
        </w:rPr>
        <w:t>ovinkou, která by měla pomoci českým firmám podstoupit náročný proces čerpání financí z dotací EU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1324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patří také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pojištění opravy finanční dotace, které </w:t>
      </w:r>
      <w:r w:rsidRPr="0013241E">
        <w:rPr>
          <w:rFonts w:ascii="Arial" w:hAnsi="Arial" w:cs="Arial"/>
          <w:color w:val="000000"/>
          <w:sz w:val="20"/>
          <w:szCs w:val="20"/>
          <w:shd w:val="clear" w:color="auto" w:fill="FFFFFF"/>
        </w:rPr>
        <w:t>v případě komplikací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3241E">
        <w:rPr>
          <w:rFonts w:ascii="Arial" w:hAnsi="Arial" w:cs="Arial"/>
          <w:color w:val="000000"/>
          <w:sz w:val="20"/>
          <w:szCs w:val="20"/>
          <w:shd w:val="clear" w:color="auto" w:fill="FFFFFF"/>
        </w:rPr>
        <w:t>dokáže ošetřit sankce plynoucí z chyb v rámci přidělených dotací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6A12CB" w:rsidRDefault="006A12CB" w:rsidP="006A12CB">
      <w:pPr>
        <w:shd w:val="clear" w:color="auto" w:fill="FFFFFF"/>
        <w:spacing w:after="0" w:line="4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56D0A" w:rsidRPr="00082EA9" w:rsidRDefault="00356D0A" w:rsidP="00082EA9">
      <w:pPr>
        <w:spacing w:line="360" w:lineRule="auto"/>
        <w:jc w:val="both"/>
        <w:rPr>
          <w:rFonts w:ascii="Arial" w:hAnsi="Arial" w:cs="Arial"/>
          <w:b/>
          <w:i/>
        </w:rPr>
      </w:pPr>
      <w:r w:rsidRPr="00082EA9">
        <w:rPr>
          <w:rFonts w:ascii="Arial" w:hAnsi="Arial" w:cs="Arial"/>
          <w:b/>
          <w:i/>
        </w:rPr>
        <w:t>O společnosti:</w:t>
      </w:r>
    </w:p>
    <w:p w:rsidR="00356D0A" w:rsidRPr="00082EA9" w:rsidRDefault="00356D0A" w:rsidP="00082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082EA9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082EA9">
        <w:rPr>
          <w:rFonts w:ascii="Arial" w:eastAsia="Times New Roman" w:hAnsi="Arial" w:cs="Arial"/>
          <w:i/>
          <w:lang w:eastAsia="cs-CZ"/>
        </w:rPr>
        <w:t>autopojištění</w:t>
      </w:r>
      <w:proofErr w:type="spellEnd"/>
      <w:r w:rsidRPr="00082EA9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356D0A" w:rsidRPr="00082EA9" w:rsidRDefault="00356D0A" w:rsidP="00082EA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356D0A" w:rsidRPr="00082EA9" w:rsidRDefault="00356D0A" w:rsidP="00082EA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082EA9">
        <w:rPr>
          <w:rFonts w:ascii="Arial" w:hAnsi="Arial" w:cs="Arial"/>
          <w:b/>
          <w:i/>
          <w:color w:val="000000"/>
          <w:sz w:val="22"/>
          <w:szCs w:val="22"/>
        </w:rPr>
        <w:t>www.slavia-pojistovna.cz</w:t>
      </w:r>
    </w:p>
    <w:p w:rsidR="00356D0A" w:rsidRPr="00082EA9" w:rsidRDefault="00356D0A" w:rsidP="00082EA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56D0A" w:rsidRPr="00082EA9" w:rsidRDefault="00356D0A" w:rsidP="00082EA9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082EA9">
        <w:rPr>
          <w:rFonts w:ascii="Arial" w:hAnsi="Arial" w:cs="Arial"/>
          <w:b/>
        </w:rPr>
        <w:t>Kontakt pro média</w:t>
      </w:r>
    </w:p>
    <w:p w:rsidR="00356D0A" w:rsidRPr="00082EA9" w:rsidRDefault="00356D0A" w:rsidP="00082EA9">
      <w:pPr>
        <w:spacing w:line="360" w:lineRule="auto"/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  <w:r w:rsidRPr="00082EA9">
        <w:rPr>
          <w:rFonts w:ascii="Arial" w:eastAsiaTheme="minorEastAsia" w:hAnsi="Arial" w:cs="Arial"/>
          <w:b/>
          <w:bCs/>
          <w:noProof/>
          <w:color w:val="404040"/>
          <w:lang w:eastAsia="cs-CZ"/>
        </w:rPr>
        <w:t>Nikola Kužílková</w:t>
      </w:r>
    </w:p>
    <w:p w:rsidR="00356D0A" w:rsidRPr="00082EA9" w:rsidRDefault="00356D0A" w:rsidP="00082EA9">
      <w:pPr>
        <w:spacing w:line="360" w:lineRule="auto"/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082EA9">
        <w:rPr>
          <w:rFonts w:ascii="Arial" w:eastAsiaTheme="minorEastAsia" w:hAnsi="Arial" w:cs="Arial"/>
          <w:noProof/>
          <w:color w:val="808080"/>
          <w:sz w:val="16"/>
          <w:szCs w:val="16"/>
          <w:lang w:eastAsia="cs-CZ"/>
        </w:rPr>
        <w:t xml:space="preserve">Email:    </w:t>
      </w:r>
      <w:hyperlink r:id="rId7" w:history="1">
        <w:r w:rsidRPr="00082EA9">
          <w:rPr>
            <w:rStyle w:val="Hypertextovodkaz"/>
            <w:rFonts w:ascii="Arial" w:eastAsiaTheme="minorEastAsia" w:hAnsi="Arial" w:cs="Arial"/>
            <w:noProof/>
            <w:sz w:val="16"/>
            <w:szCs w:val="16"/>
            <w:lang w:eastAsia="cs-CZ"/>
          </w:rPr>
          <w:t>kuzilkova@know.cz</w:t>
        </w:r>
      </w:hyperlink>
      <w:r w:rsidRPr="00082EA9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 xml:space="preserve"> </w:t>
      </w:r>
    </w:p>
    <w:p w:rsidR="00356D0A" w:rsidRPr="00082EA9" w:rsidRDefault="00356D0A" w:rsidP="00082EA9">
      <w:pPr>
        <w:spacing w:line="360" w:lineRule="auto"/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082EA9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Telefon: +420 605 224 749</w:t>
      </w:r>
    </w:p>
    <w:p w:rsidR="00356D0A" w:rsidRPr="00082EA9" w:rsidRDefault="00356D0A" w:rsidP="00082EA9">
      <w:pPr>
        <w:spacing w:line="360" w:lineRule="auto"/>
        <w:rPr>
          <w:rFonts w:ascii="Arial" w:hAnsi="Arial" w:cs="Arial"/>
          <w:b/>
          <w:bCs/>
          <w:color w:val="404040"/>
          <w:lang w:eastAsia="cs-CZ"/>
        </w:rPr>
      </w:pPr>
    </w:p>
    <w:p w:rsidR="00356D0A" w:rsidRPr="00082EA9" w:rsidRDefault="00356D0A" w:rsidP="00082EA9">
      <w:pPr>
        <w:spacing w:line="360" w:lineRule="auto"/>
        <w:rPr>
          <w:rFonts w:ascii="Arial" w:hAnsi="Arial" w:cs="Arial"/>
        </w:rPr>
      </w:pPr>
    </w:p>
    <w:p w:rsidR="00356D0A" w:rsidRPr="00082EA9" w:rsidRDefault="00356D0A" w:rsidP="00082EA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356D0A" w:rsidRPr="00082EA9" w:rsidSect="004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1EF6"/>
    <w:multiLevelType w:val="hybridMultilevel"/>
    <w:tmpl w:val="022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0308"/>
    <w:multiLevelType w:val="hybridMultilevel"/>
    <w:tmpl w:val="E9FE4736"/>
    <w:lvl w:ilvl="0" w:tplc="FD844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54C2"/>
    <w:multiLevelType w:val="hybridMultilevel"/>
    <w:tmpl w:val="97E01AB6"/>
    <w:lvl w:ilvl="0" w:tplc="660AE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40E8"/>
    <w:multiLevelType w:val="hybridMultilevel"/>
    <w:tmpl w:val="7220A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B6A9F"/>
    <w:multiLevelType w:val="hybridMultilevel"/>
    <w:tmpl w:val="3A507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11B"/>
    <w:rsid w:val="00002C74"/>
    <w:rsid w:val="000124C1"/>
    <w:rsid w:val="00023C3C"/>
    <w:rsid w:val="00025EF5"/>
    <w:rsid w:val="000278BE"/>
    <w:rsid w:val="000328A0"/>
    <w:rsid w:val="00052644"/>
    <w:rsid w:val="00057986"/>
    <w:rsid w:val="0006769A"/>
    <w:rsid w:val="0006772A"/>
    <w:rsid w:val="00082EA9"/>
    <w:rsid w:val="00084EA5"/>
    <w:rsid w:val="00095124"/>
    <w:rsid w:val="000A3F49"/>
    <w:rsid w:val="000B28C0"/>
    <w:rsid w:val="000D1619"/>
    <w:rsid w:val="000E1A25"/>
    <w:rsid w:val="001042AF"/>
    <w:rsid w:val="00107441"/>
    <w:rsid w:val="00136654"/>
    <w:rsid w:val="00146744"/>
    <w:rsid w:val="00165499"/>
    <w:rsid w:val="00172CB5"/>
    <w:rsid w:val="00182F05"/>
    <w:rsid w:val="0019232A"/>
    <w:rsid w:val="0019775D"/>
    <w:rsid w:val="001B65C6"/>
    <w:rsid w:val="001C07D3"/>
    <w:rsid w:val="001E6AAF"/>
    <w:rsid w:val="001F235D"/>
    <w:rsid w:val="002054B9"/>
    <w:rsid w:val="00207073"/>
    <w:rsid w:val="00214AAA"/>
    <w:rsid w:val="00224664"/>
    <w:rsid w:val="00233843"/>
    <w:rsid w:val="0024383E"/>
    <w:rsid w:val="002645B4"/>
    <w:rsid w:val="002708CD"/>
    <w:rsid w:val="0028207C"/>
    <w:rsid w:val="002951D4"/>
    <w:rsid w:val="002A3F1C"/>
    <w:rsid w:val="002B69ED"/>
    <w:rsid w:val="002B6FA0"/>
    <w:rsid w:val="00304E30"/>
    <w:rsid w:val="00317F5F"/>
    <w:rsid w:val="003200B1"/>
    <w:rsid w:val="00327E74"/>
    <w:rsid w:val="00350CF3"/>
    <w:rsid w:val="00356D0A"/>
    <w:rsid w:val="003637AD"/>
    <w:rsid w:val="0039023A"/>
    <w:rsid w:val="003B11BD"/>
    <w:rsid w:val="003B2F0D"/>
    <w:rsid w:val="003C53D5"/>
    <w:rsid w:val="004066E1"/>
    <w:rsid w:val="00427524"/>
    <w:rsid w:val="00434FAC"/>
    <w:rsid w:val="00444D6B"/>
    <w:rsid w:val="00461DF0"/>
    <w:rsid w:val="00465864"/>
    <w:rsid w:val="004669AE"/>
    <w:rsid w:val="0048459B"/>
    <w:rsid w:val="00486FAF"/>
    <w:rsid w:val="004B45F6"/>
    <w:rsid w:val="004B547A"/>
    <w:rsid w:val="004C0C0C"/>
    <w:rsid w:val="004D47D2"/>
    <w:rsid w:val="004E2C43"/>
    <w:rsid w:val="004E5601"/>
    <w:rsid w:val="004F2373"/>
    <w:rsid w:val="005150A1"/>
    <w:rsid w:val="00516CDC"/>
    <w:rsid w:val="00521307"/>
    <w:rsid w:val="00521DD8"/>
    <w:rsid w:val="005259CA"/>
    <w:rsid w:val="00541896"/>
    <w:rsid w:val="00573E14"/>
    <w:rsid w:val="005D164E"/>
    <w:rsid w:val="005F1FEE"/>
    <w:rsid w:val="005F24BD"/>
    <w:rsid w:val="00605927"/>
    <w:rsid w:val="006400AB"/>
    <w:rsid w:val="00664EDC"/>
    <w:rsid w:val="006668F4"/>
    <w:rsid w:val="00673D84"/>
    <w:rsid w:val="00677779"/>
    <w:rsid w:val="00683468"/>
    <w:rsid w:val="006A12CB"/>
    <w:rsid w:val="006A411B"/>
    <w:rsid w:val="006A7BCB"/>
    <w:rsid w:val="006F2443"/>
    <w:rsid w:val="006F5B61"/>
    <w:rsid w:val="006F6937"/>
    <w:rsid w:val="00710112"/>
    <w:rsid w:val="00717515"/>
    <w:rsid w:val="00717EFD"/>
    <w:rsid w:val="00730B50"/>
    <w:rsid w:val="00744F47"/>
    <w:rsid w:val="00745A71"/>
    <w:rsid w:val="007560AF"/>
    <w:rsid w:val="00763410"/>
    <w:rsid w:val="00773CE5"/>
    <w:rsid w:val="00791849"/>
    <w:rsid w:val="00793E6F"/>
    <w:rsid w:val="007A2B1D"/>
    <w:rsid w:val="007A2E9B"/>
    <w:rsid w:val="007C1DFE"/>
    <w:rsid w:val="007C54E5"/>
    <w:rsid w:val="007E74DE"/>
    <w:rsid w:val="007F39C7"/>
    <w:rsid w:val="00802C48"/>
    <w:rsid w:val="008109CD"/>
    <w:rsid w:val="00811CDF"/>
    <w:rsid w:val="00812AB4"/>
    <w:rsid w:val="00817597"/>
    <w:rsid w:val="00821155"/>
    <w:rsid w:val="00831A54"/>
    <w:rsid w:val="00847568"/>
    <w:rsid w:val="008563EA"/>
    <w:rsid w:val="00860647"/>
    <w:rsid w:val="00860694"/>
    <w:rsid w:val="00864DE0"/>
    <w:rsid w:val="008870AB"/>
    <w:rsid w:val="008924ED"/>
    <w:rsid w:val="008A2EBF"/>
    <w:rsid w:val="008A2F3E"/>
    <w:rsid w:val="008A6B49"/>
    <w:rsid w:val="008A7A02"/>
    <w:rsid w:val="008B1D83"/>
    <w:rsid w:val="008B7624"/>
    <w:rsid w:val="008E1631"/>
    <w:rsid w:val="008F1303"/>
    <w:rsid w:val="008F43B6"/>
    <w:rsid w:val="00923D45"/>
    <w:rsid w:val="0092571E"/>
    <w:rsid w:val="00930AEC"/>
    <w:rsid w:val="009348F1"/>
    <w:rsid w:val="00937448"/>
    <w:rsid w:val="00943B4F"/>
    <w:rsid w:val="0094661C"/>
    <w:rsid w:val="009719F5"/>
    <w:rsid w:val="009775AA"/>
    <w:rsid w:val="0098053B"/>
    <w:rsid w:val="00987568"/>
    <w:rsid w:val="009A197E"/>
    <w:rsid w:val="009A33AB"/>
    <w:rsid w:val="009A5F66"/>
    <w:rsid w:val="009C4A8A"/>
    <w:rsid w:val="009D1545"/>
    <w:rsid w:val="009E6444"/>
    <w:rsid w:val="00A060BF"/>
    <w:rsid w:val="00A46DBF"/>
    <w:rsid w:val="00A47440"/>
    <w:rsid w:val="00A5163A"/>
    <w:rsid w:val="00A5782B"/>
    <w:rsid w:val="00A61E37"/>
    <w:rsid w:val="00A6506D"/>
    <w:rsid w:val="00A83370"/>
    <w:rsid w:val="00A84A1B"/>
    <w:rsid w:val="00A86CA7"/>
    <w:rsid w:val="00A951D7"/>
    <w:rsid w:val="00A957FA"/>
    <w:rsid w:val="00AA388C"/>
    <w:rsid w:val="00AB23C2"/>
    <w:rsid w:val="00AB448B"/>
    <w:rsid w:val="00AB6F6E"/>
    <w:rsid w:val="00AF4DAE"/>
    <w:rsid w:val="00B048A8"/>
    <w:rsid w:val="00B04A09"/>
    <w:rsid w:val="00B12BE8"/>
    <w:rsid w:val="00B42A83"/>
    <w:rsid w:val="00B431D9"/>
    <w:rsid w:val="00B435D0"/>
    <w:rsid w:val="00B436EC"/>
    <w:rsid w:val="00B60189"/>
    <w:rsid w:val="00B63E85"/>
    <w:rsid w:val="00B96A0E"/>
    <w:rsid w:val="00BA61BC"/>
    <w:rsid w:val="00BC7964"/>
    <w:rsid w:val="00BE2395"/>
    <w:rsid w:val="00BE4D34"/>
    <w:rsid w:val="00BF2209"/>
    <w:rsid w:val="00C058D3"/>
    <w:rsid w:val="00C11479"/>
    <w:rsid w:val="00C144D3"/>
    <w:rsid w:val="00C15D9E"/>
    <w:rsid w:val="00C432DB"/>
    <w:rsid w:val="00C5299B"/>
    <w:rsid w:val="00C52E9E"/>
    <w:rsid w:val="00C56D3A"/>
    <w:rsid w:val="00C626BB"/>
    <w:rsid w:val="00C72396"/>
    <w:rsid w:val="00C72F4B"/>
    <w:rsid w:val="00C80CCC"/>
    <w:rsid w:val="00C80FB2"/>
    <w:rsid w:val="00C838BB"/>
    <w:rsid w:val="00C85A44"/>
    <w:rsid w:val="00CA4F0F"/>
    <w:rsid w:val="00CC5007"/>
    <w:rsid w:val="00CD2B3B"/>
    <w:rsid w:val="00CE78CE"/>
    <w:rsid w:val="00CF23AE"/>
    <w:rsid w:val="00D01ACB"/>
    <w:rsid w:val="00D107DC"/>
    <w:rsid w:val="00D134BF"/>
    <w:rsid w:val="00D13E77"/>
    <w:rsid w:val="00D3268B"/>
    <w:rsid w:val="00D375E2"/>
    <w:rsid w:val="00D47011"/>
    <w:rsid w:val="00D650F0"/>
    <w:rsid w:val="00D75DAB"/>
    <w:rsid w:val="00DA2281"/>
    <w:rsid w:val="00DE0D9A"/>
    <w:rsid w:val="00E14F07"/>
    <w:rsid w:val="00E22F26"/>
    <w:rsid w:val="00E27526"/>
    <w:rsid w:val="00E30BB6"/>
    <w:rsid w:val="00E31693"/>
    <w:rsid w:val="00E4096C"/>
    <w:rsid w:val="00E60219"/>
    <w:rsid w:val="00E86398"/>
    <w:rsid w:val="00E908C7"/>
    <w:rsid w:val="00E91917"/>
    <w:rsid w:val="00E93640"/>
    <w:rsid w:val="00E94DE8"/>
    <w:rsid w:val="00E954A6"/>
    <w:rsid w:val="00EA2A61"/>
    <w:rsid w:val="00EA3F1E"/>
    <w:rsid w:val="00EB14A3"/>
    <w:rsid w:val="00EC05EC"/>
    <w:rsid w:val="00ED334E"/>
    <w:rsid w:val="00EF77D6"/>
    <w:rsid w:val="00F01675"/>
    <w:rsid w:val="00F3500B"/>
    <w:rsid w:val="00F36903"/>
    <w:rsid w:val="00F412F3"/>
    <w:rsid w:val="00F461E0"/>
    <w:rsid w:val="00F57542"/>
    <w:rsid w:val="00F72215"/>
    <w:rsid w:val="00F77066"/>
    <w:rsid w:val="00F81771"/>
    <w:rsid w:val="00F86E58"/>
    <w:rsid w:val="00FB1360"/>
    <w:rsid w:val="00FC72D5"/>
    <w:rsid w:val="00FD0FDC"/>
    <w:rsid w:val="00FE535C"/>
    <w:rsid w:val="00FE5A17"/>
    <w:rsid w:val="00FF0AB9"/>
    <w:rsid w:val="00FF1433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11B"/>
    <w:rPr>
      <w:b/>
      <w:bCs/>
    </w:rPr>
  </w:style>
  <w:style w:type="paragraph" w:customStyle="1" w:styleId="Odstavecseseznamem1">
    <w:name w:val="Odstavec se seznamem1"/>
    <w:basedOn w:val="Normln"/>
    <w:rsid w:val="00172CB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04E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0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7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7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7D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36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637A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Standardnpsmoodstavce"/>
    <w:rsid w:val="00D0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zilkova@know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A040-7969-4219-9189-EA7DFA98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2</cp:revision>
  <cp:lastPrinted>2014-11-20T09:44:00Z</cp:lastPrinted>
  <dcterms:created xsi:type="dcterms:W3CDTF">2016-03-31T08:27:00Z</dcterms:created>
  <dcterms:modified xsi:type="dcterms:W3CDTF">2016-03-31T08:27:00Z</dcterms:modified>
</cp:coreProperties>
</file>